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Pr="007817B4" w:rsidRDefault="00EE37EF">
      <w:pPr>
        <w:pStyle w:val="Header"/>
        <w:tabs>
          <w:tab w:val="clear" w:pos="4153"/>
          <w:tab w:val="clear" w:pos="8306"/>
        </w:tabs>
      </w:pPr>
      <w:r>
        <w:rPr>
          <w:b/>
          <w:bCs/>
        </w:rPr>
        <w:t>East Area Planning Committee</w:t>
      </w:r>
      <w:r w:rsidR="007817B4">
        <w:rPr>
          <w:b/>
          <w:bCs/>
        </w:rPr>
        <w:tab/>
      </w:r>
      <w:r w:rsidR="007817B4">
        <w:rPr>
          <w:b/>
          <w:bCs/>
        </w:rPr>
        <w:tab/>
      </w:r>
      <w:r w:rsidR="007817B4">
        <w:rPr>
          <w:b/>
          <w:bCs/>
        </w:rPr>
        <w:tab/>
      </w:r>
      <w:r w:rsidR="007817B4">
        <w:rPr>
          <w:b/>
          <w:bCs/>
        </w:rPr>
        <w:tab/>
      </w:r>
      <w:r w:rsidR="007817B4">
        <w:rPr>
          <w:b/>
          <w:bCs/>
        </w:rPr>
        <w:tab/>
      </w:r>
      <w:r w:rsidR="007817B4" w:rsidRPr="007817B4">
        <w:rPr>
          <w:bCs/>
        </w:rPr>
        <w:t>14</w:t>
      </w:r>
      <w:r w:rsidR="007817B4" w:rsidRPr="007817B4">
        <w:rPr>
          <w:bCs/>
          <w:vertAlign w:val="superscript"/>
        </w:rPr>
        <w:t>th</w:t>
      </w:r>
      <w:r w:rsidR="007817B4" w:rsidRPr="007817B4">
        <w:rPr>
          <w:bCs/>
        </w:rPr>
        <w:t xml:space="preserve"> May 2015</w:t>
      </w:r>
    </w:p>
    <w:p w:rsidR="006572A4" w:rsidRDefault="006572A4">
      <w:pPr>
        <w:pStyle w:val="Header"/>
        <w:tabs>
          <w:tab w:val="clear" w:pos="4153"/>
          <w:tab w:val="clear" w:pos="8306"/>
        </w:tabs>
      </w:pPr>
    </w:p>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15/00732/CT3</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30th April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Erection of single storey rear extension.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
              <w:t>3 Sawpit</w:t>
            </w:r>
            <w:r w:rsidR="00573DDD">
              <w:t xml:space="preserve"> Road Oxford.  Site plan at </w:t>
            </w:r>
            <w:r w:rsidR="00573DDD" w:rsidRPr="00573DDD">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Blackbird Leys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N/A</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Oxford City Council</w:t>
            </w:r>
          </w:p>
        </w:tc>
      </w:tr>
    </w:tbl>
    <w:p w:rsidR="006572A4" w:rsidRDefault="006572A4">
      <w:pPr>
        <w:pBdr>
          <w:bottom w:val="single" w:sz="4" w:space="1" w:color="auto"/>
        </w:pBdr>
      </w:pPr>
    </w:p>
    <w:p w:rsidR="006572A4" w:rsidRDefault="006572A4" w:rsidP="00AD2305">
      <w:pPr>
        <w:pStyle w:val="Header"/>
        <w:widowControl w:val="0"/>
        <w:tabs>
          <w:tab w:val="clear" w:pos="4153"/>
          <w:tab w:val="clear" w:pos="8306"/>
        </w:tabs>
        <w:ind w:right="-1"/>
        <w:jc w:val="both"/>
      </w:pPr>
    </w:p>
    <w:p w:rsidR="006572A4" w:rsidRDefault="006572A4" w:rsidP="00AD2305">
      <w:pPr>
        <w:widowControl w:val="0"/>
        <w:ind w:right="-1"/>
        <w:jc w:val="both"/>
        <w:rPr>
          <w:b/>
          <w:bCs/>
        </w:rPr>
      </w:pPr>
      <w:r>
        <w:rPr>
          <w:b/>
          <w:bCs/>
        </w:rPr>
        <w:t>Recommendation:</w:t>
      </w:r>
    </w:p>
    <w:p w:rsidR="006572A4" w:rsidRDefault="006572A4" w:rsidP="00AD2305">
      <w:pPr>
        <w:widowControl w:val="0"/>
        <w:ind w:right="-1"/>
        <w:jc w:val="both"/>
      </w:pPr>
    </w:p>
    <w:p w:rsidR="00AD2305" w:rsidRDefault="00AD2305" w:rsidP="00AD2305">
      <w:pPr>
        <w:widowControl w:val="0"/>
        <w:jc w:val="both"/>
      </w:pPr>
      <w:r>
        <w:t>APPLICATION BE APPROVED</w:t>
      </w:r>
    </w:p>
    <w:p w:rsidR="00AD2305" w:rsidRDefault="00AD2305" w:rsidP="00AD2305">
      <w:pPr>
        <w:widowControl w:val="0"/>
        <w:jc w:val="both"/>
      </w:pPr>
    </w:p>
    <w:p w:rsidR="00AD2305" w:rsidRDefault="00AD2305" w:rsidP="00AD2305">
      <w:pPr>
        <w:widowControl w:val="0"/>
        <w:ind w:left="720" w:hanging="720"/>
        <w:jc w:val="both"/>
      </w:pPr>
      <w:r>
        <w:t>For the following reasons:</w:t>
      </w:r>
    </w:p>
    <w:p w:rsidR="00AD2305" w:rsidRDefault="00AD2305" w:rsidP="00AD2305">
      <w:pPr>
        <w:widowControl w:val="0"/>
        <w:ind w:left="720" w:hanging="720"/>
        <w:jc w:val="both"/>
      </w:pPr>
    </w:p>
    <w:p w:rsidR="00AD2305" w:rsidRDefault="00AD2305" w:rsidP="00AD2305">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AD2305" w:rsidRDefault="00AD2305" w:rsidP="00AD2305">
      <w:pPr>
        <w:widowControl w:val="0"/>
        <w:ind w:left="720" w:hanging="720"/>
        <w:jc w:val="both"/>
      </w:pPr>
    </w:p>
    <w:p w:rsidR="00AD2305" w:rsidRDefault="00AD2305" w:rsidP="00AD2305">
      <w:pPr>
        <w:widowControl w:val="0"/>
        <w:jc w:val="both"/>
      </w:pPr>
      <w:proofErr w:type="gramStart"/>
      <w:r>
        <w:t>subject</w:t>
      </w:r>
      <w:proofErr w:type="gramEnd"/>
      <w:r>
        <w:t xml:space="preserve"> to the following conditions, which have been imposed for the reasons stated:-</w:t>
      </w:r>
    </w:p>
    <w:p w:rsidR="00AD2305" w:rsidRDefault="00AD2305" w:rsidP="00AD2305">
      <w:pPr>
        <w:widowControl w:val="0"/>
        <w:jc w:val="both"/>
      </w:pPr>
    </w:p>
    <w:p w:rsidR="00AD2305" w:rsidRDefault="00AD2305" w:rsidP="00AD2305">
      <w:pPr>
        <w:pStyle w:val="BodyText2"/>
      </w:pPr>
      <w:r>
        <w:t>1</w:t>
      </w:r>
      <w:r>
        <w:tab/>
        <w:t xml:space="preserve">Development begun within time limit </w:t>
      </w:r>
      <w:r>
        <w:tab/>
      </w:r>
    </w:p>
    <w:p w:rsidR="00AD2305" w:rsidRDefault="00AD2305" w:rsidP="00AD2305">
      <w:pPr>
        <w:pStyle w:val="BodyText2"/>
      </w:pPr>
    </w:p>
    <w:p w:rsidR="00AD2305" w:rsidRDefault="00AD2305" w:rsidP="00AD2305">
      <w:pPr>
        <w:pStyle w:val="BodyText2"/>
      </w:pPr>
      <w:r>
        <w:t>2</w:t>
      </w:r>
      <w:r>
        <w:tab/>
        <w:t>Develop in accordance with approved pl</w:t>
      </w:r>
      <w:r w:rsidR="000555E0">
        <w:t>a</w:t>
      </w:r>
      <w:r>
        <w:t xml:space="preserve">ns </w:t>
      </w:r>
      <w:r>
        <w:tab/>
      </w:r>
    </w:p>
    <w:p w:rsidR="00AD2305" w:rsidRDefault="00AD2305" w:rsidP="00AD2305">
      <w:pPr>
        <w:pStyle w:val="BodyText2"/>
      </w:pPr>
    </w:p>
    <w:p w:rsidR="00AD2305" w:rsidRDefault="00AD2305" w:rsidP="00AD2305">
      <w:pPr>
        <w:pStyle w:val="BodyText2"/>
      </w:pPr>
      <w:r>
        <w:t>3</w:t>
      </w:r>
      <w:r>
        <w:tab/>
        <w:t xml:space="preserve">Materials </w:t>
      </w:r>
      <w:r>
        <w:tab/>
      </w:r>
    </w:p>
    <w:p w:rsidR="006572A4" w:rsidRDefault="006572A4" w:rsidP="00AD2305">
      <w:pPr>
        <w:widowControl w:val="0"/>
        <w:ind w:right="-1"/>
        <w:jc w:val="both"/>
      </w:pPr>
    </w:p>
    <w:p w:rsidR="006572A4" w:rsidRDefault="006572A4" w:rsidP="00AD2305">
      <w:pPr>
        <w:ind w:right="-1"/>
        <w:jc w:val="both"/>
        <w:rPr>
          <w:b/>
          <w:bCs/>
        </w:rPr>
      </w:pPr>
      <w:r>
        <w:rPr>
          <w:b/>
          <w:bCs/>
        </w:rPr>
        <w:t>Main Local Plan Policies:</w:t>
      </w:r>
    </w:p>
    <w:p w:rsidR="006572A4" w:rsidRDefault="006572A4" w:rsidP="00AD2305">
      <w:pPr>
        <w:widowControl w:val="0"/>
        <w:ind w:right="-1"/>
        <w:jc w:val="both"/>
      </w:pPr>
    </w:p>
    <w:p w:rsidR="006572A4" w:rsidRDefault="006572A4" w:rsidP="00AD2305">
      <w:pPr>
        <w:widowControl w:val="0"/>
        <w:ind w:right="-1"/>
        <w:jc w:val="both"/>
        <w:rPr>
          <w:b/>
          <w:bCs/>
        </w:rPr>
      </w:pPr>
      <w:r>
        <w:rPr>
          <w:b/>
          <w:bCs/>
        </w:rPr>
        <w:t>Oxford Local Plan 2001-2016</w:t>
      </w:r>
    </w:p>
    <w:p w:rsidR="006572A4" w:rsidRDefault="006572A4" w:rsidP="00AD2305">
      <w:pPr>
        <w:widowControl w:val="0"/>
        <w:ind w:right="-1"/>
        <w:jc w:val="both"/>
      </w:pPr>
    </w:p>
    <w:p w:rsidR="006572A4" w:rsidRDefault="006572A4" w:rsidP="00AD2305">
      <w:pPr>
        <w:widowControl w:val="0"/>
        <w:ind w:right="-1"/>
        <w:jc w:val="both"/>
      </w:pPr>
      <w:r>
        <w:rPr>
          <w:b/>
          <w:bCs/>
        </w:rPr>
        <w:t>CP1</w:t>
      </w:r>
      <w:r>
        <w:t xml:space="preserve"> - Development Proposals</w:t>
      </w:r>
    </w:p>
    <w:p w:rsidR="006572A4" w:rsidRDefault="006572A4" w:rsidP="00AD2305">
      <w:pPr>
        <w:widowControl w:val="0"/>
        <w:ind w:right="-1"/>
        <w:jc w:val="both"/>
      </w:pPr>
      <w:r>
        <w:rPr>
          <w:b/>
          <w:bCs/>
        </w:rPr>
        <w:t>CP6</w:t>
      </w:r>
      <w:r>
        <w:t xml:space="preserve"> - Efficient Use of Land &amp; Density</w:t>
      </w:r>
    </w:p>
    <w:p w:rsidR="006572A4" w:rsidRDefault="006572A4" w:rsidP="00AD2305">
      <w:pPr>
        <w:widowControl w:val="0"/>
        <w:ind w:right="-1"/>
        <w:jc w:val="both"/>
      </w:pPr>
      <w:r>
        <w:rPr>
          <w:b/>
          <w:bCs/>
        </w:rPr>
        <w:t>CP8</w:t>
      </w:r>
      <w:r>
        <w:t xml:space="preserve"> - Design Devel</w:t>
      </w:r>
      <w:r w:rsidR="0043054E">
        <w:t>o</w:t>
      </w:r>
      <w:r>
        <w:t>pm</w:t>
      </w:r>
      <w:r w:rsidR="0043054E">
        <w:t>en</w:t>
      </w:r>
      <w:r>
        <w:t>t to Relate to its Context</w:t>
      </w:r>
    </w:p>
    <w:p w:rsidR="006572A4" w:rsidRDefault="006572A4" w:rsidP="00AD2305">
      <w:pPr>
        <w:widowControl w:val="0"/>
        <w:ind w:right="-1"/>
        <w:jc w:val="both"/>
      </w:pPr>
      <w:r>
        <w:rPr>
          <w:b/>
          <w:bCs/>
        </w:rPr>
        <w:t>CP10</w:t>
      </w:r>
      <w:r>
        <w:t xml:space="preserve"> - Siting </w:t>
      </w:r>
      <w:r w:rsidR="0043054E">
        <w:t>Development</w:t>
      </w:r>
      <w:r>
        <w:t xml:space="preserve"> to Meet </w:t>
      </w:r>
      <w:r w:rsidR="0043054E">
        <w:t>Functional</w:t>
      </w:r>
      <w:r>
        <w:t xml:space="preserve"> Needs</w:t>
      </w:r>
    </w:p>
    <w:p w:rsidR="006572A4" w:rsidRDefault="006572A4" w:rsidP="00AD2305">
      <w:pPr>
        <w:widowControl w:val="0"/>
        <w:ind w:right="-1"/>
        <w:jc w:val="both"/>
      </w:pPr>
    </w:p>
    <w:p w:rsidR="006572A4" w:rsidRDefault="006572A4" w:rsidP="00AD2305">
      <w:pPr>
        <w:pStyle w:val="Header"/>
        <w:tabs>
          <w:tab w:val="clear" w:pos="4153"/>
          <w:tab w:val="clear" w:pos="8306"/>
        </w:tabs>
        <w:ind w:right="-1"/>
        <w:jc w:val="both"/>
        <w:rPr>
          <w:b/>
          <w:bCs/>
        </w:rPr>
      </w:pPr>
      <w:r>
        <w:rPr>
          <w:b/>
          <w:bCs/>
        </w:rPr>
        <w:t>Core Strategy</w:t>
      </w:r>
    </w:p>
    <w:p w:rsidR="006572A4" w:rsidRDefault="006572A4" w:rsidP="00AD2305">
      <w:pPr>
        <w:pStyle w:val="Header"/>
        <w:tabs>
          <w:tab w:val="clear" w:pos="4153"/>
          <w:tab w:val="clear" w:pos="8306"/>
        </w:tabs>
        <w:ind w:right="-1"/>
        <w:jc w:val="both"/>
      </w:pPr>
    </w:p>
    <w:p w:rsidR="006572A4" w:rsidRDefault="006572A4" w:rsidP="00AD2305">
      <w:pPr>
        <w:widowControl w:val="0"/>
        <w:ind w:right="-1"/>
        <w:jc w:val="both"/>
      </w:pPr>
      <w:r>
        <w:rPr>
          <w:b/>
          <w:bCs/>
        </w:rPr>
        <w:t>CS18_</w:t>
      </w:r>
      <w:r>
        <w:t xml:space="preserve"> - Urb</w:t>
      </w:r>
      <w:r w:rsidR="0043054E">
        <w:t>an</w:t>
      </w:r>
      <w:r>
        <w:t xml:space="preserve"> design, town character, historic env</w:t>
      </w:r>
      <w:r w:rsidR="0043054E">
        <w:t>ironment</w:t>
      </w:r>
    </w:p>
    <w:p w:rsidR="006572A4" w:rsidRDefault="006572A4" w:rsidP="00AD2305">
      <w:pPr>
        <w:widowControl w:val="0"/>
        <w:ind w:right="-1"/>
        <w:jc w:val="both"/>
      </w:pPr>
    </w:p>
    <w:p w:rsidR="006572A4" w:rsidRDefault="006572A4" w:rsidP="00AD2305">
      <w:pPr>
        <w:widowControl w:val="0"/>
        <w:ind w:right="-1"/>
        <w:jc w:val="both"/>
      </w:pPr>
    </w:p>
    <w:p w:rsidR="006572A4" w:rsidRDefault="006572A4" w:rsidP="00AD2305">
      <w:pPr>
        <w:widowControl w:val="0"/>
        <w:ind w:right="-1"/>
        <w:jc w:val="both"/>
        <w:rPr>
          <w:b/>
          <w:bCs/>
        </w:rPr>
      </w:pPr>
      <w:r>
        <w:rPr>
          <w:b/>
          <w:bCs/>
        </w:rPr>
        <w:t>Sites and Housing Plan</w:t>
      </w:r>
    </w:p>
    <w:p w:rsidR="006572A4" w:rsidRDefault="006572A4" w:rsidP="00AD2305">
      <w:pPr>
        <w:widowControl w:val="0"/>
        <w:ind w:right="-1"/>
        <w:jc w:val="both"/>
      </w:pPr>
    </w:p>
    <w:p w:rsidR="006572A4" w:rsidRDefault="006572A4" w:rsidP="00AD2305">
      <w:pPr>
        <w:widowControl w:val="0"/>
        <w:ind w:right="-1"/>
        <w:jc w:val="both"/>
      </w:pPr>
      <w:r>
        <w:rPr>
          <w:b/>
          <w:bCs/>
        </w:rPr>
        <w:t>HP9_</w:t>
      </w:r>
      <w:r>
        <w:t xml:space="preserve"> - Desi</w:t>
      </w:r>
      <w:r w:rsidR="0043054E">
        <w:t xml:space="preserve">gn, Character and </w:t>
      </w:r>
      <w:r>
        <w:t>Context</w:t>
      </w:r>
    </w:p>
    <w:p w:rsidR="006572A4" w:rsidRDefault="006572A4" w:rsidP="00AD2305">
      <w:pPr>
        <w:widowControl w:val="0"/>
        <w:ind w:right="-1"/>
        <w:jc w:val="both"/>
      </w:pPr>
      <w:r>
        <w:rPr>
          <w:b/>
          <w:bCs/>
        </w:rPr>
        <w:t>HP14_</w:t>
      </w:r>
      <w:r>
        <w:t xml:space="preserve"> - Privacy and Daylight</w:t>
      </w:r>
    </w:p>
    <w:p w:rsidR="006572A4" w:rsidRDefault="006572A4" w:rsidP="00AD2305">
      <w:pPr>
        <w:pStyle w:val="Header"/>
        <w:widowControl w:val="0"/>
        <w:tabs>
          <w:tab w:val="clear" w:pos="4153"/>
          <w:tab w:val="clear" w:pos="8306"/>
        </w:tabs>
        <w:ind w:right="-1"/>
        <w:jc w:val="both"/>
      </w:pPr>
    </w:p>
    <w:p w:rsidR="006572A4" w:rsidRDefault="006572A4" w:rsidP="00AD2305">
      <w:pPr>
        <w:widowControl w:val="0"/>
        <w:ind w:right="-1"/>
        <w:jc w:val="both"/>
        <w:rPr>
          <w:b/>
          <w:bCs/>
        </w:rPr>
      </w:pPr>
      <w:r>
        <w:rPr>
          <w:b/>
          <w:bCs/>
        </w:rPr>
        <w:t>Other Material Considerations:</w:t>
      </w:r>
    </w:p>
    <w:p w:rsidR="006572A4" w:rsidRDefault="006572A4" w:rsidP="00AD2305">
      <w:pPr>
        <w:widowControl w:val="0"/>
        <w:ind w:right="-1"/>
        <w:jc w:val="both"/>
      </w:pPr>
    </w:p>
    <w:p w:rsidR="006572A4" w:rsidRDefault="006572A4" w:rsidP="00AD2305">
      <w:pPr>
        <w:widowControl w:val="0"/>
        <w:ind w:right="-1"/>
        <w:jc w:val="both"/>
      </w:pPr>
      <w:r>
        <w:t>National Planning Policy Framework</w:t>
      </w:r>
    </w:p>
    <w:p w:rsidR="006572A4" w:rsidRDefault="00AD1C42" w:rsidP="00AD2305">
      <w:pPr>
        <w:widowControl w:val="0"/>
        <w:ind w:right="-1"/>
        <w:jc w:val="both"/>
      </w:pPr>
      <w:r>
        <w:t>Planning Practice Guidance</w:t>
      </w:r>
    </w:p>
    <w:p w:rsidR="00CC4DA4" w:rsidRDefault="00CC4DA4" w:rsidP="00AD2305">
      <w:pPr>
        <w:widowControl w:val="0"/>
        <w:ind w:right="-1"/>
        <w:jc w:val="both"/>
      </w:pPr>
    </w:p>
    <w:p w:rsidR="006572A4" w:rsidRDefault="006572A4" w:rsidP="00AD2305">
      <w:pPr>
        <w:widowControl w:val="0"/>
        <w:ind w:right="-1"/>
        <w:jc w:val="both"/>
      </w:pPr>
      <w:r>
        <w:rPr>
          <w:b/>
          <w:bCs/>
        </w:rPr>
        <w:t>Relevant Site History:</w:t>
      </w:r>
    </w:p>
    <w:p w:rsidR="006572A4" w:rsidRDefault="006572A4" w:rsidP="00AD2305">
      <w:pPr>
        <w:widowControl w:val="0"/>
        <w:ind w:right="-1"/>
        <w:jc w:val="both"/>
        <w:rPr>
          <w:lang w:val="en-US"/>
        </w:rPr>
      </w:pPr>
    </w:p>
    <w:p w:rsidR="0043054E" w:rsidRDefault="0043054E" w:rsidP="00AD2305">
      <w:pPr>
        <w:pStyle w:val="CAPS"/>
        <w:ind w:right="-1"/>
        <w:jc w:val="both"/>
        <w:rPr>
          <w:rFonts w:ascii="Arial" w:hAnsi="Arial" w:cs="Arial"/>
          <w:sz w:val="24"/>
          <w:szCs w:val="24"/>
        </w:rPr>
      </w:pPr>
      <w:r>
        <w:rPr>
          <w:rFonts w:ascii="Arial" w:hAnsi="Arial" w:cs="Arial"/>
          <w:sz w:val="24"/>
          <w:szCs w:val="24"/>
        </w:rPr>
        <w:t xml:space="preserve">57/06434/A_H - Outline application for housing and ancillary purposes including the stopping up of part of Long Lane and Sandy Lane. </w:t>
      </w:r>
      <w:proofErr w:type="gramStart"/>
      <w:r>
        <w:rPr>
          <w:rFonts w:ascii="Arial" w:hAnsi="Arial" w:cs="Arial"/>
          <w:sz w:val="24"/>
          <w:szCs w:val="24"/>
        </w:rPr>
        <w:t>PER 8th October 1957.</w:t>
      </w:r>
      <w:proofErr w:type="gramEnd"/>
    </w:p>
    <w:p w:rsidR="0043054E" w:rsidRDefault="0043054E" w:rsidP="00AD2305">
      <w:pPr>
        <w:pStyle w:val="CAPS"/>
        <w:ind w:right="-1"/>
        <w:jc w:val="both"/>
        <w:rPr>
          <w:rFonts w:ascii="Arial" w:hAnsi="Arial" w:cs="Arial"/>
          <w:sz w:val="24"/>
          <w:szCs w:val="24"/>
        </w:rPr>
      </w:pPr>
    </w:p>
    <w:p w:rsidR="0043054E" w:rsidRDefault="0043054E" w:rsidP="00AD2305">
      <w:pPr>
        <w:pStyle w:val="CAPS"/>
        <w:ind w:right="-1"/>
        <w:jc w:val="both"/>
        <w:rPr>
          <w:rFonts w:ascii="Arial" w:hAnsi="Arial" w:cs="Arial"/>
          <w:sz w:val="24"/>
          <w:szCs w:val="24"/>
        </w:rPr>
      </w:pPr>
      <w:r>
        <w:rPr>
          <w:rFonts w:ascii="Arial" w:hAnsi="Arial" w:cs="Arial"/>
          <w:sz w:val="24"/>
          <w:szCs w:val="24"/>
        </w:rPr>
        <w:t xml:space="preserve">58/07346/A_H - 40 houses in pairs and terraces. </w:t>
      </w:r>
      <w:proofErr w:type="gramStart"/>
      <w:r>
        <w:rPr>
          <w:rFonts w:ascii="Arial" w:hAnsi="Arial" w:cs="Arial"/>
          <w:sz w:val="24"/>
          <w:szCs w:val="24"/>
        </w:rPr>
        <w:t>PER 23rd September 1958.</w:t>
      </w:r>
      <w:proofErr w:type="gramEnd"/>
    </w:p>
    <w:p w:rsidR="0043054E" w:rsidRDefault="0043054E" w:rsidP="00AD2305">
      <w:pPr>
        <w:pStyle w:val="CAPS"/>
        <w:ind w:right="-1"/>
        <w:jc w:val="both"/>
        <w:rPr>
          <w:rFonts w:ascii="Arial" w:hAnsi="Arial" w:cs="Arial"/>
          <w:sz w:val="24"/>
          <w:szCs w:val="24"/>
        </w:rPr>
      </w:pPr>
    </w:p>
    <w:p w:rsidR="0043054E" w:rsidRDefault="0043054E" w:rsidP="00AD2305">
      <w:pPr>
        <w:pStyle w:val="CAPS"/>
        <w:ind w:right="-1"/>
        <w:jc w:val="both"/>
        <w:rPr>
          <w:rFonts w:ascii="Arial" w:hAnsi="Arial" w:cs="Arial"/>
          <w:sz w:val="24"/>
          <w:szCs w:val="24"/>
        </w:rPr>
      </w:pPr>
      <w:r>
        <w:rPr>
          <w:rFonts w:ascii="Arial" w:hAnsi="Arial" w:cs="Arial"/>
          <w:sz w:val="24"/>
          <w:szCs w:val="24"/>
        </w:rPr>
        <w:t xml:space="preserve">60/10081/A_H - Development of road and sewers layout. </w:t>
      </w:r>
      <w:proofErr w:type="gramStart"/>
      <w:r>
        <w:rPr>
          <w:rFonts w:ascii="Arial" w:hAnsi="Arial" w:cs="Arial"/>
          <w:sz w:val="24"/>
          <w:szCs w:val="24"/>
        </w:rPr>
        <w:t>PER 8th November 1960.</w:t>
      </w:r>
      <w:proofErr w:type="gramEnd"/>
    </w:p>
    <w:p w:rsidR="006572A4" w:rsidRDefault="006572A4" w:rsidP="00AD2305">
      <w:pPr>
        <w:widowControl w:val="0"/>
        <w:ind w:right="-1"/>
        <w:jc w:val="both"/>
        <w:rPr>
          <w:lang w:val="en-US"/>
        </w:rPr>
      </w:pPr>
    </w:p>
    <w:p w:rsidR="006572A4" w:rsidRDefault="006572A4" w:rsidP="00AD2305">
      <w:pPr>
        <w:widowControl w:val="0"/>
        <w:ind w:right="-1"/>
        <w:jc w:val="both"/>
        <w:rPr>
          <w:b/>
          <w:bCs/>
        </w:rPr>
      </w:pPr>
      <w:r>
        <w:rPr>
          <w:b/>
          <w:bCs/>
        </w:rPr>
        <w:t>Representations Received:</w:t>
      </w:r>
    </w:p>
    <w:p w:rsidR="006572A4" w:rsidRDefault="006572A4" w:rsidP="00AD2305">
      <w:pPr>
        <w:widowControl w:val="0"/>
        <w:ind w:right="-1"/>
        <w:jc w:val="both"/>
      </w:pPr>
    </w:p>
    <w:p w:rsidR="0043054E" w:rsidRDefault="0043054E" w:rsidP="00AD2305">
      <w:pPr>
        <w:widowControl w:val="0"/>
        <w:ind w:right="-1"/>
        <w:jc w:val="both"/>
      </w:pPr>
      <w:r w:rsidRPr="0043054E">
        <w:rPr>
          <w:u w:val="single"/>
        </w:rPr>
        <w:t>32 Sawpit Road</w:t>
      </w:r>
      <w:r>
        <w:t xml:space="preserve">: hours of work? Is there weekend building? </w:t>
      </w:r>
      <w:r>
        <w:rPr>
          <w:lang w:eastAsia="en-GB"/>
        </w:rPr>
        <w:t>Is extension at left of existing building?</w:t>
      </w:r>
    </w:p>
    <w:p w:rsidR="006572A4" w:rsidRDefault="006572A4" w:rsidP="00AD2305">
      <w:pPr>
        <w:widowControl w:val="0"/>
        <w:ind w:right="-1"/>
        <w:jc w:val="both"/>
      </w:pPr>
    </w:p>
    <w:p w:rsidR="006572A4" w:rsidRDefault="006572A4" w:rsidP="00AD2305">
      <w:pPr>
        <w:widowControl w:val="0"/>
        <w:ind w:right="-1"/>
        <w:jc w:val="both"/>
        <w:rPr>
          <w:b/>
          <w:bCs/>
        </w:rPr>
      </w:pPr>
      <w:r>
        <w:rPr>
          <w:b/>
          <w:bCs/>
        </w:rPr>
        <w:t xml:space="preserve">Statutory and Internal </w:t>
      </w:r>
      <w:proofErr w:type="spellStart"/>
      <w:r>
        <w:rPr>
          <w:b/>
          <w:bCs/>
        </w:rPr>
        <w:t>Consultees</w:t>
      </w:r>
      <w:proofErr w:type="spellEnd"/>
      <w:r>
        <w:rPr>
          <w:b/>
          <w:bCs/>
        </w:rPr>
        <w:t>:</w:t>
      </w:r>
    </w:p>
    <w:p w:rsidR="006572A4" w:rsidRDefault="006572A4" w:rsidP="00AD2305">
      <w:pPr>
        <w:widowControl w:val="0"/>
        <w:ind w:right="-1"/>
        <w:jc w:val="both"/>
      </w:pPr>
    </w:p>
    <w:p w:rsidR="00EF3F19" w:rsidRDefault="00EF3F19" w:rsidP="00AD2305">
      <w:pPr>
        <w:widowControl w:val="0"/>
        <w:ind w:right="-1"/>
        <w:jc w:val="both"/>
      </w:pPr>
      <w:r>
        <w:t xml:space="preserve">No comments </w:t>
      </w:r>
      <w:r w:rsidR="00324A41">
        <w:t>received</w:t>
      </w:r>
    </w:p>
    <w:p w:rsidR="00EF3F19" w:rsidRDefault="00EF3F19" w:rsidP="00AD2305">
      <w:pPr>
        <w:widowControl w:val="0"/>
        <w:ind w:right="-1"/>
        <w:jc w:val="both"/>
      </w:pPr>
    </w:p>
    <w:p w:rsidR="006572A4" w:rsidRDefault="006572A4" w:rsidP="00AD2305">
      <w:pPr>
        <w:widowControl w:val="0"/>
        <w:ind w:right="-1"/>
        <w:jc w:val="both"/>
        <w:rPr>
          <w:b/>
          <w:bCs/>
        </w:rPr>
      </w:pPr>
      <w:r>
        <w:rPr>
          <w:b/>
          <w:bCs/>
        </w:rPr>
        <w:t>Issues:</w:t>
      </w:r>
    </w:p>
    <w:p w:rsidR="006572A4" w:rsidRDefault="006572A4" w:rsidP="00AD2305">
      <w:pPr>
        <w:widowControl w:val="0"/>
        <w:ind w:right="-1"/>
        <w:jc w:val="both"/>
        <w:rPr>
          <w:lang w:val="en-US"/>
        </w:rPr>
      </w:pPr>
    </w:p>
    <w:p w:rsidR="006572A4" w:rsidRDefault="0043054E" w:rsidP="00AD2305">
      <w:pPr>
        <w:widowControl w:val="0"/>
        <w:ind w:right="-1"/>
        <w:jc w:val="both"/>
        <w:rPr>
          <w:lang w:val="en-US"/>
        </w:rPr>
      </w:pPr>
      <w:r>
        <w:rPr>
          <w:lang w:val="en-US"/>
        </w:rPr>
        <w:t>Design</w:t>
      </w:r>
    </w:p>
    <w:p w:rsidR="0043054E" w:rsidRDefault="0043054E" w:rsidP="00AD2305">
      <w:pPr>
        <w:widowControl w:val="0"/>
        <w:ind w:right="-1"/>
        <w:jc w:val="both"/>
        <w:rPr>
          <w:lang w:val="en-US"/>
        </w:rPr>
      </w:pPr>
      <w:r>
        <w:rPr>
          <w:lang w:val="en-US"/>
        </w:rPr>
        <w:t>Residential Amenity</w:t>
      </w:r>
    </w:p>
    <w:p w:rsidR="006572A4" w:rsidRDefault="006572A4" w:rsidP="00AD2305">
      <w:pPr>
        <w:widowControl w:val="0"/>
        <w:ind w:right="-1"/>
        <w:jc w:val="both"/>
      </w:pPr>
    </w:p>
    <w:p w:rsidR="006572A4" w:rsidRDefault="006572A4" w:rsidP="00AD2305">
      <w:pPr>
        <w:widowControl w:val="0"/>
        <w:ind w:right="-1"/>
        <w:jc w:val="both"/>
        <w:rPr>
          <w:b/>
          <w:bCs/>
        </w:rPr>
      </w:pPr>
      <w:r>
        <w:rPr>
          <w:b/>
          <w:bCs/>
        </w:rPr>
        <w:t>Officers Assessment:</w:t>
      </w:r>
    </w:p>
    <w:p w:rsidR="006572A4" w:rsidRDefault="006572A4" w:rsidP="00AD2305">
      <w:pPr>
        <w:widowControl w:val="0"/>
        <w:ind w:right="-1"/>
        <w:jc w:val="both"/>
      </w:pPr>
    </w:p>
    <w:p w:rsidR="006572A4" w:rsidRPr="0043054E" w:rsidRDefault="0043054E" w:rsidP="00AD2305">
      <w:pPr>
        <w:widowControl w:val="0"/>
        <w:ind w:right="-1"/>
        <w:jc w:val="both"/>
        <w:rPr>
          <w:b/>
        </w:rPr>
      </w:pPr>
      <w:r w:rsidRPr="0043054E">
        <w:rPr>
          <w:b/>
        </w:rPr>
        <w:t>Site Description</w:t>
      </w:r>
    </w:p>
    <w:p w:rsidR="0043054E" w:rsidRDefault="0043054E" w:rsidP="00AD2305">
      <w:pPr>
        <w:widowControl w:val="0"/>
        <w:ind w:right="-1"/>
        <w:jc w:val="both"/>
      </w:pPr>
    </w:p>
    <w:p w:rsidR="0043054E" w:rsidRPr="00324A41" w:rsidRDefault="00AD2305" w:rsidP="00AD2305">
      <w:pPr>
        <w:widowControl w:val="0"/>
        <w:ind w:left="720" w:right="-1" w:hanging="720"/>
        <w:jc w:val="both"/>
      </w:pPr>
      <w:r>
        <w:t>1.</w:t>
      </w:r>
      <w:r>
        <w:tab/>
      </w:r>
      <w:r w:rsidR="00EF3F19">
        <w:t xml:space="preserve">The application site comprises a 1960’s mid terrace residential property on the eastern side of Sawpit Road within </w:t>
      </w:r>
      <w:r w:rsidR="00324A41">
        <w:t xml:space="preserve">Blackbird Leys.  The property is faced in red brick under a concrete tiled roof at the front and pebble dashed render at the rear.  </w:t>
      </w:r>
    </w:p>
    <w:p w:rsidR="0043054E" w:rsidRDefault="0043054E" w:rsidP="00AD2305">
      <w:pPr>
        <w:widowControl w:val="0"/>
        <w:ind w:right="-1"/>
        <w:jc w:val="both"/>
      </w:pPr>
    </w:p>
    <w:p w:rsidR="0043054E" w:rsidRPr="0043054E" w:rsidRDefault="0043054E" w:rsidP="00AD2305">
      <w:pPr>
        <w:widowControl w:val="0"/>
        <w:ind w:right="-1"/>
        <w:jc w:val="both"/>
        <w:rPr>
          <w:b/>
        </w:rPr>
      </w:pPr>
      <w:r w:rsidRPr="0043054E">
        <w:rPr>
          <w:b/>
        </w:rPr>
        <w:t>Proposal</w:t>
      </w:r>
    </w:p>
    <w:p w:rsidR="0043054E" w:rsidRDefault="0043054E" w:rsidP="00AD2305">
      <w:pPr>
        <w:widowControl w:val="0"/>
        <w:ind w:right="-1"/>
        <w:jc w:val="both"/>
      </w:pPr>
    </w:p>
    <w:p w:rsidR="0043054E" w:rsidRDefault="00AD2305" w:rsidP="00AD2305">
      <w:pPr>
        <w:widowControl w:val="0"/>
        <w:ind w:left="720" w:right="-1" w:hanging="720"/>
        <w:jc w:val="both"/>
      </w:pPr>
      <w:r>
        <w:t>2.</w:t>
      </w:r>
      <w:r>
        <w:tab/>
      </w:r>
      <w:r w:rsidR="00324A41">
        <w:t xml:space="preserve">The application is seeking permission for a single storey flat roofed rear extension.  </w:t>
      </w:r>
    </w:p>
    <w:p w:rsidR="00324A41" w:rsidRDefault="00324A41" w:rsidP="00AD2305">
      <w:pPr>
        <w:widowControl w:val="0"/>
        <w:ind w:right="-1"/>
        <w:jc w:val="both"/>
      </w:pPr>
    </w:p>
    <w:p w:rsidR="0043054E" w:rsidRPr="0043054E" w:rsidRDefault="0043054E" w:rsidP="00AD2305">
      <w:pPr>
        <w:widowControl w:val="0"/>
        <w:ind w:right="-1"/>
        <w:jc w:val="both"/>
        <w:rPr>
          <w:b/>
        </w:rPr>
      </w:pPr>
      <w:r w:rsidRPr="0043054E">
        <w:rPr>
          <w:b/>
        </w:rPr>
        <w:t>Assessment</w:t>
      </w:r>
    </w:p>
    <w:p w:rsidR="0043054E" w:rsidRDefault="0043054E" w:rsidP="00AD2305">
      <w:pPr>
        <w:widowControl w:val="0"/>
        <w:ind w:right="-1"/>
        <w:jc w:val="both"/>
      </w:pPr>
    </w:p>
    <w:p w:rsidR="0043054E" w:rsidRPr="00EF3F19" w:rsidRDefault="0043054E" w:rsidP="00AD2305">
      <w:pPr>
        <w:widowControl w:val="0"/>
        <w:ind w:right="-1"/>
        <w:jc w:val="both"/>
        <w:rPr>
          <w:u w:val="single"/>
          <w:lang w:val="en-US"/>
        </w:rPr>
      </w:pPr>
      <w:r w:rsidRPr="00EF3F19">
        <w:rPr>
          <w:u w:val="single"/>
          <w:lang w:val="en-US"/>
        </w:rPr>
        <w:t>Design</w:t>
      </w:r>
    </w:p>
    <w:p w:rsidR="0043054E" w:rsidRDefault="0043054E" w:rsidP="00AD2305">
      <w:pPr>
        <w:widowControl w:val="0"/>
        <w:ind w:right="-1"/>
        <w:jc w:val="both"/>
        <w:rPr>
          <w:lang w:val="en-US"/>
        </w:rPr>
      </w:pPr>
    </w:p>
    <w:p w:rsidR="00EF3F19" w:rsidRDefault="00AD2305" w:rsidP="00AD2305">
      <w:pPr>
        <w:pStyle w:val="Header"/>
        <w:widowControl w:val="0"/>
        <w:ind w:left="709" w:right="-1" w:hanging="567"/>
        <w:jc w:val="both"/>
      </w:pPr>
      <w:r>
        <w:lastRenderedPageBreak/>
        <w:t>3.</w:t>
      </w:r>
      <w:r>
        <w:tab/>
      </w:r>
      <w:r>
        <w:tab/>
      </w:r>
      <w:r w:rsidR="00EF3F19" w:rsidRPr="00D5357D">
        <w:t>Policy CS18 of the Core Strategy, HP9 of the Sites and Housing Plan and Policies CP1 and CP8 of the adopted Oxford Local Plan combine to require that planning permission will only be granted for development which shows a high standard of design, that respects the character and appearance of an area and uses materials appropriate to the site and surroundings.</w:t>
      </w:r>
    </w:p>
    <w:p w:rsidR="00EF3F19" w:rsidRDefault="00EF3F19" w:rsidP="00AD2305">
      <w:pPr>
        <w:pStyle w:val="Header"/>
        <w:widowControl w:val="0"/>
        <w:ind w:right="-1"/>
        <w:jc w:val="both"/>
      </w:pPr>
    </w:p>
    <w:p w:rsidR="00EF3F19" w:rsidRDefault="00AD2305" w:rsidP="00AD2305">
      <w:pPr>
        <w:pStyle w:val="Header"/>
        <w:widowControl w:val="0"/>
        <w:ind w:left="709" w:right="-1" w:hanging="709"/>
        <w:jc w:val="both"/>
      </w:pPr>
      <w:r>
        <w:t>4.</w:t>
      </w:r>
      <w:r>
        <w:tab/>
      </w:r>
      <w:r w:rsidR="00324A41">
        <w:t xml:space="preserve">The proposed extension </w:t>
      </w:r>
      <w:r w:rsidR="001265E5">
        <w:t xml:space="preserve">is 6.7m long 4.6m wide and 2.65m high and is set 2.8m away from the boundary with No. 1 Sawpit Road and 300mm away from the boundary with No. 5 Sawpit Road.  The materials proposed are to match the existing property; a condition will be added to ensure this.  The proposed extension is considered to be in keeping with the existing building in terms of its design and use of materials.  </w:t>
      </w:r>
    </w:p>
    <w:p w:rsidR="0043054E" w:rsidRDefault="0043054E" w:rsidP="00AD2305">
      <w:pPr>
        <w:widowControl w:val="0"/>
        <w:ind w:right="-1"/>
        <w:jc w:val="both"/>
        <w:rPr>
          <w:lang w:val="en-US"/>
        </w:rPr>
      </w:pPr>
    </w:p>
    <w:p w:rsidR="0043054E" w:rsidRPr="00EF3F19" w:rsidRDefault="0043054E" w:rsidP="00AD2305">
      <w:pPr>
        <w:widowControl w:val="0"/>
        <w:ind w:right="-1"/>
        <w:jc w:val="both"/>
        <w:rPr>
          <w:u w:val="single"/>
          <w:lang w:val="en-US"/>
        </w:rPr>
      </w:pPr>
      <w:r w:rsidRPr="00EF3F19">
        <w:rPr>
          <w:u w:val="single"/>
          <w:lang w:val="en-US"/>
        </w:rPr>
        <w:t>Residential Amenity</w:t>
      </w:r>
    </w:p>
    <w:p w:rsidR="0043054E" w:rsidRDefault="0043054E" w:rsidP="00AD2305">
      <w:pPr>
        <w:widowControl w:val="0"/>
        <w:ind w:right="-1"/>
        <w:jc w:val="both"/>
        <w:rPr>
          <w:lang w:val="en-US"/>
        </w:rPr>
      </w:pPr>
    </w:p>
    <w:p w:rsidR="00EF3F19" w:rsidRDefault="00AD2305" w:rsidP="00AD2305">
      <w:pPr>
        <w:ind w:left="720" w:right="-1" w:hanging="720"/>
        <w:jc w:val="both"/>
      </w:pPr>
      <w:r>
        <w:t>5.</w:t>
      </w:r>
      <w:r>
        <w:tab/>
      </w:r>
      <w:r w:rsidR="00EF3F19">
        <w:t>HP14 of the Sites and Housing Plan states that planning permission will only be granted for new residential development that provides reasonable privacy and daylight for the occupants of both existing and new homes.  HP14 also states that planning permission will not be granted for any development that has an overbearing effect on existing homes.</w:t>
      </w:r>
    </w:p>
    <w:p w:rsidR="0043054E" w:rsidRDefault="0043054E" w:rsidP="00AD2305">
      <w:pPr>
        <w:widowControl w:val="0"/>
        <w:ind w:right="-1"/>
        <w:jc w:val="both"/>
      </w:pPr>
    </w:p>
    <w:p w:rsidR="006572A4" w:rsidRDefault="00AD2305" w:rsidP="00AD2305">
      <w:pPr>
        <w:widowControl w:val="0"/>
        <w:ind w:left="720" w:right="-1" w:hanging="720"/>
        <w:jc w:val="both"/>
      </w:pPr>
      <w:r>
        <w:t>6.</w:t>
      </w:r>
      <w:r>
        <w:tab/>
      </w:r>
      <w:r w:rsidR="00ED577A">
        <w:t>With respect to No. 1 Sawpit Road the proposal does not breach the 24/25 degree code of practice in terms of sunlight/daylight and it is set far enough away from the common boundary so as not to be overbearing or create a sense of enclosure.</w:t>
      </w:r>
    </w:p>
    <w:p w:rsidR="00ED577A" w:rsidRDefault="00ED577A" w:rsidP="00AD2305">
      <w:pPr>
        <w:widowControl w:val="0"/>
        <w:ind w:right="-1"/>
        <w:jc w:val="both"/>
      </w:pPr>
    </w:p>
    <w:p w:rsidR="001A38EF" w:rsidRDefault="00AD2305" w:rsidP="00AD2305">
      <w:pPr>
        <w:widowControl w:val="0"/>
        <w:ind w:left="720" w:right="-1" w:hanging="720"/>
        <w:jc w:val="both"/>
      </w:pPr>
      <w:r>
        <w:t>7.</w:t>
      </w:r>
      <w:r>
        <w:tab/>
      </w:r>
      <w:r w:rsidR="001A38EF">
        <w:t xml:space="preserve">With regards to No. 5 Sawpit Road the proposal just clips the 45/25 degree code of practice when taken from the conservatory.  However the proposed extension is to the north of No. 5 and there is 1.8m high fence along the common boundary therefore the impact will be minimal.  The proposed extension </w:t>
      </w:r>
      <w:r w:rsidR="009500BA">
        <w:t>is quite long however it is relatively low with a flat roof</w:t>
      </w:r>
      <w:r w:rsidR="00D976B9">
        <w:t xml:space="preserve"> and set 300mm away from the boundary</w:t>
      </w:r>
      <w:r w:rsidR="009500BA">
        <w:t xml:space="preserve">.  Therefore its impact on No. 5 is considered to be </w:t>
      </w:r>
      <w:r w:rsidR="00D976B9">
        <w:t>harmful enough to warrant refusing the application.</w:t>
      </w:r>
    </w:p>
    <w:p w:rsidR="006572A4" w:rsidRDefault="006572A4" w:rsidP="00AD2305">
      <w:pPr>
        <w:pStyle w:val="Header"/>
        <w:widowControl w:val="0"/>
        <w:tabs>
          <w:tab w:val="clear" w:pos="4153"/>
          <w:tab w:val="clear" w:pos="8306"/>
        </w:tabs>
        <w:ind w:right="-1"/>
        <w:jc w:val="both"/>
      </w:pPr>
    </w:p>
    <w:p w:rsidR="006572A4" w:rsidRDefault="006572A4" w:rsidP="00AD2305">
      <w:pPr>
        <w:pStyle w:val="Header"/>
        <w:widowControl w:val="0"/>
        <w:tabs>
          <w:tab w:val="clear" w:pos="4153"/>
          <w:tab w:val="clear" w:pos="8306"/>
        </w:tabs>
        <w:ind w:right="-1"/>
        <w:jc w:val="both"/>
        <w:rPr>
          <w:b/>
          <w:bCs/>
        </w:rPr>
      </w:pPr>
      <w:r>
        <w:rPr>
          <w:b/>
          <w:bCs/>
        </w:rPr>
        <w:t>Conclusion:</w:t>
      </w:r>
    </w:p>
    <w:p w:rsidR="006572A4" w:rsidRDefault="006572A4" w:rsidP="00AD2305">
      <w:pPr>
        <w:pStyle w:val="Header"/>
        <w:widowControl w:val="0"/>
        <w:tabs>
          <w:tab w:val="clear" w:pos="4153"/>
          <w:tab w:val="clear" w:pos="8306"/>
        </w:tabs>
        <w:ind w:right="-1"/>
        <w:jc w:val="both"/>
      </w:pPr>
    </w:p>
    <w:p w:rsidR="00EF3F19" w:rsidRDefault="00AD2305" w:rsidP="00AD2305">
      <w:pPr>
        <w:pStyle w:val="Header"/>
        <w:widowControl w:val="0"/>
        <w:tabs>
          <w:tab w:val="clear" w:pos="4153"/>
          <w:tab w:val="clear" w:pos="8306"/>
        </w:tabs>
        <w:ind w:right="-1"/>
        <w:jc w:val="both"/>
      </w:pPr>
      <w:r>
        <w:t>8.</w:t>
      </w:r>
      <w:r>
        <w:tab/>
      </w:r>
      <w:r w:rsidR="00EF3F19">
        <w:t xml:space="preserve">Members are recommended to approve the proposal.  </w:t>
      </w:r>
    </w:p>
    <w:p w:rsidR="0043054E" w:rsidRDefault="0043054E" w:rsidP="00AD2305">
      <w:pPr>
        <w:pStyle w:val="Header"/>
        <w:widowControl w:val="0"/>
        <w:tabs>
          <w:tab w:val="clear" w:pos="4153"/>
          <w:tab w:val="clear" w:pos="8306"/>
        </w:tabs>
        <w:ind w:right="-1"/>
        <w:jc w:val="both"/>
      </w:pPr>
    </w:p>
    <w:p w:rsidR="006572A4" w:rsidRDefault="006572A4" w:rsidP="00AD2305">
      <w:pPr>
        <w:pStyle w:val="Header"/>
        <w:widowControl w:val="0"/>
        <w:tabs>
          <w:tab w:val="clear" w:pos="4153"/>
          <w:tab w:val="clear" w:pos="8306"/>
        </w:tabs>
        <w:ind w:right="-1"/>
        <w:jc w:val="both"/>
      </w:pPr>
      <w:r>
        <w:t>Human Rights Act 1998</w:t>
      </w:r>
    </w:p>
    <w:p w:rsidR="006572A4" w:rsidRDefault="006572A4" w:rsidP="00AD2305">
      <w:pPr>
        <w:pStyle w:val="Header"/>
        <w:widowControl w:val="0"/>
        <w:tabs>
          <w:tab w:val="clear" w:pos="4153"/>
          <w:tab w:val="clear" w:pos="8306"/>
        </w:tabs>
        <w:ind w:right="-1"/>
        <w:jc w:val="both"/>
      </w:pPr>
    </w:p>
    <w:p w:rsidR="006572A4" w:rsidRDefault="006572A4" w:rsidP="00AD2305">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AD2305">
      <w:pPr>
        <w:ind w:right="-1"/>
        <w:jc w:val="both"/>
      </w:pPr>
    </w:p>
    <w:p w:rsidR="006572A4" w:rsidRDefault="006572A4" w:rsidP="00AD2305">
      <w:pPr>
        <w:ind w:right="-1"/>
        <w:jc w:val="both"/>
      </w:pPr>
      <w:r>
        <w:t xml:space="preserve">Officers have also considered the interference with the human rights of the applicant under Article 8 and/or Article 1 of the First Protocol caused by imposing conditions.  Officers consider that the conditions are necessary to protect the rights and freedoms </w:t>
      </w:r>
      <w:r>
        <w:lastRenderedPageBreak/>
        <w:t>of others and to control the use of property in accordance with the general interest.  The interference is therefore justifiable and proportionate.</w:t>
      </w:r>
    </w:p>
    <w:p w:rsidR="006572A4" w:rsidRDefault="006572A4" w:rsidP="00AD2305">
      <w:pPr>
        <w:ind w:right="-1"/>
        <w:jc w:val="both"/>
      </w:pPr>
    </w:p>
    <w:p w:rsidR="006572A4" w:rsidRDefault="006572A4" w:rsidP="00AD2305">
      <w:pPr>
        <w:ind w:right="-1"/>
        <w:jc w:val="both"/>
      </w:pPr>
    </w:p>
    <w:p w:rsidR="006572A4" w:rsidRDefault="006572A4" w:rsidP="00AD2305">
      <w:pPr>
        <w:ind w:right="-1"/>
        <w:jc w:val="both"/>
        <w:rPr>
          <w:lang w:val="en-US"/>
        </w:rPr>
      </w:pPr>
      <w:r>
        <w:rPr>
          <w:lang w:val="en-US"/>
        </w:rPr>
        <w:t>Section 17 of the Crime and Disorder Act 1998</w:t>
      </w:r>
    </w:p>
    <w:p w:rsidR="006572A4" w:rsidRDefault="006572A4" w:rsidP="00AD2305">
      <w:pPr>
        <w:ind w:right="-1"/>
        <w:jc w:val="both"/>
        <w:rPr>
          <w:lang w:val="en-US"/>
        </w:rPr>
      </w:pPr>
    </w:p>
    <w:p w:rsidR="006572A4" w:rsidRDefault="006572A4" w:rsidP="00AD2305">
      <w:pPr>
        <w:ind w:right="-1"/>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EF3F19">
        <w:rPr>
          <w:lang w:val="en-US"/>
        </w:rPr>
        <w:t xml:space="preserve"> </w:t>
      </w:r>
      <w:r w:rsidR="00EF3F19">
        <w:t>grant planning permission</w:t>
      </w:r>
      <w:r>
        <w:rPr>
          <w:lang w:val="en-US"/>
        </w:rPr>
        <w:t>, officers consider that the proposal will not undermine crime prevention or the promotion of community safety.</w:t>
      </w:r>
    </w:p>
    <w:p w:rsidR="006572A4" w:rsidRDefault="006572A4" w:rsidP="00AD2305">
      <w:pPr>
        <w:ind w:right="-1"/>
        <w:jc w:val="both"/>
      </w:pPr>
    </w:p>
    <w:p w:rsidR="006572A4" w:rsidRDefault="006572A4" w:rsidP="00AD2305">
      <w:pPr>
        <w:ind w:right="-1"/>
        <w:jc w:val="both"/>
      </w:pPr>
    </w:p>
    <w:p w:rsidR="006572A4" w:rsidRDefault="006572A4" w:rsidP="00AD2305">
      <w:pPr>
        <w:ind w:right="-1"/>
        <w:jc w:val="both"/>
        <w:rPr>
          <w:b/>
          <w:bCs/>
        </w:rPr>
      </w:pPr>
      <w:r>
        <w:rPr>
          <w:b/>
          <w:bCs/>
        </w:rPr>
        <w:t xml:space="preserve">Background Papers: </w:t>
      </w:r>
    </w:p>
    <w:p w:rsidR="006572A4" w:rsidRDefault="006572A4" w:rsidP="00AD2305">
      <w:pPr>
        <w:ind w:right="-1"/>
        <w:jc w:val="both"/>
      </w:pPr>
    </w:p>
    <w:p w:rsidR="006572A4" w:rsidRDefault="006572A4" w:rsidP="00AD2305">
      <w:pPr>
        <w:ind w:right="-1"/>
        <w:jc w:val="both"/>
      </w:pPr>
      <w:r>
        <w:rPr>
          <w:b/>
          <w:bCs/>
        </w:rPr>
        <w:t xml:space="preserve">Contact Officer: </w:t>
      </w:r>
      <w:r>
        <w:t>Lisa Green</w:t>
      </w:r>
    </w:p>
    <w:p w:rsidR="006572A4" w:rsidRDefault="006572A4" w:rsidP="00AD2305">
      <w:pPr>
        <w:ind w:right="-1"/>
        <w:jc w:val="both"/>
      </w:pPr>
      <w:r>
        <w:rPr>
          <w:b/>
          <w:bCs/>
        </w:rPr>
        <w:t xml:space="preserve">Extension: </w:t>
      </w:r>
      <w:r>
        <w:t>2614</w:t>
      </w:r>
    </w:p>
    <w:p w:rsidR="006572A4" w:rsidRDefault="006572A4" w:rsidP="00AD2305">
      <w:pPr>
        <w:ind w:right="-1"/>
        <w:jc w:val="both"/>
      </w:pPr>
      <w:r>
        <w:rPr>
          <w:b/>
          <w:bCs/>
        </w:rPr>
        <w:t xml:space="preserve">Date: </w:t>
      </w:r>
      <w:r>
        <w:t>29th April 2015</w:t>
      </w:r>
    </w:p>
    <w:p w:rsidR="00EC3CCE" w:rsidRDefault="00EC3CCE" w:rsidP="00AD2305">
      <w:pPr>
        <w:ind w:right="-1"/>
        <w:jc w:val="both"/>
      </w:pPr>
    </w:p>
    <w:p w:rsidR="00EC3CCE" w:rsidRDefault="00EC3CCE" w:rsidP="00D94C92">
      <w:pPr>
        <w:autoSpaceDE/>
        <w:autoSpaceDN/>
        <w:spacing w:after="200" w:line="276" w:lineRule="auto"/>
      </w:pPr>
      <w:bookmarkStart w:id="0" w:name="_GoBack"/>
      <w:bookmarkEnd w:id="0"/>
    </w:p>
    <w:p w:rsidR="00EC3CCE" w:rsidRDefault="00EC3CCE" w:rsidP="00AD2305">
      <w:pPr>
        <w:ind w:right="-1"/>
        <w:jc w:val="both"/>
      </w:pPr>
    </w:p>
    <w:sectPr w:rsidR="00EC3CCE">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555E0"/>
    <w:rsid w:val="001265E5"/>
    <w:rsid w:val="001A38EF"/>
    <w:rsid w:val="002724F8"/>
    <w:rsid w:val="00324A41"/>
    <w:rsid w:val="0043054E"/>
    <w:rsid w:val="00573DDD"/>
    <w:rsid w:val="006572A4"/>
    <w:rsid w:val="0070423B"/>
    <w:rsid w:val="007817B4"/>
    <w:rsid w:val="009500BA"/>
    <w:rsid w:val="009D4C0F"/>
    <w:rsid w:val="00AD1C42"/>
    <w:rsid w:val="00AD2305"/>
    <w:rsid w:val="00CA2853"/>
    <w:rsid w:val="00CC4DA4"/>
    <w:rsid w:val="00D94C92"/>
    <w:rsid w:val="00D976B9"/>
    <w:rsid w:val="00EC3CCE"/>
    <w:rsid w:val="00ED577A"/>
    <w:rsid w:val="00EE37EF"/>
    <w:rsid w:val="00EF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43054E"/>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C3CCE"/>
    <w:rPr>
      <w:rFonts w:ascii="Tahoma" w:hAnsi="Tahoma" w:cs="Tahoma"/>
      <w:sz w:val="16"/>
      <w:szCs w:val="16"/>
    </w:rPr>
  </w:style>
  <w:style w:type="character" w:customStyle="1" w:styleId="BalloonTextChar">
    <w:name w:val="Balloon Text Char"/>
    <w:basedOn w:val="DefaultParagraphFont"/>
    <w:link w:val="BalloonText"/>
    <w:uiPriority w:val="99"/>
    <w:semiHidden/>
    <w:rsid w:val="00EC3C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43054E"/>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EC3CCE"/>
    <w:rPr>
      <w:rFonts w:ascii="Tahoma" w:hAnsi="Tahoma" w:cs="Tahoma"/>
      <w:sz w:val="16"/>
      <w:szCs w:val="16"/>
    </w:rPr>
  </w:style>
  <w:style w:type="character" w:customStyle="1" w:styleId="BalloonTextChar">
    <w:name w:val="Balloon Text Char"/>
    <w:basedOn w:val="DefaultParagraphFont"/>
    <w:link w:val="BalloonText"/>
    <w:uiPriority w:val="99"/>
    <w:semiHidden/>
    <w:rsid w:val="00EC3C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6684">
      <w:marLeft w:val="0"/>
      <w:marRight w:val="0"/>
      <w:marTop w:val="0"/>
      <w:marBottom w:val="0"/>
      <w:divBdr>
        <w:top w:val="none" w:sz="0" w:space="0" w:color="auto"/>
        <w:left w:val="none" w:sz="0" w:space="0" w:color="auto"/>
        <w:bottom w:val="none" w:sz="0" w:space="0" w:color="auto"/>
        <w:right w:val="none" w:sz="0" w:space="0" w:color="auto"/>
      </w:divBdr>
    </w:div>
    <w:div w:id="1803576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69184ABF</Template>
  <TotalTime>51</TotalTime>
  <Pages>4</Pages>
  <Words>895</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jennifer.thompson</cp:lastModifiedBy>
  <cp:revision>4</cp:revision>
  <cp:lastPrinted>2004-03-16T15:29:00Z</cp:lastPrinted>
  <dcterms:created xsi:type="dcterms:W3CDTF">2015-04-30T13:00:00Z</dcterms:created>
  <dcterms:modified xsi:type="dcterms:W3CDTF">2015-05-06T14:57:00Z</dcterms:modified>
</cp:coreProperties>
</file>